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44" w:rsidRPr="00946644" w:rsidRDefault="00946644" w:rsidP="00204C32">
      <w:pPr>
        <w:pBdr>
          <w:bottom w:val="single" w:sz="12" w:space="0" w:color="D4D4D4"/>
        </w:pBdr>
        <w:spacing w:after="0" w:line="528" w:lineRule="atLeast"/>
        <w:outlineLvl w:val="1"/>
        <w:rPr>
          <w:rFonts w:ascii="Arial" w:eastAsia="Times New Roman" w:hAnsi="Arial" w:cs="Arial"/>
          <w:b/>
          <w:bCs/>
          <w:color w:val="262626"/>
          <w:kern w:val="36"/>
          <w:sz w:val="33"/>
          <w:szCs w:val="33"/>
        </w:rPr>
      </w:pPr>
      <w:r w:rsidRPr="00946644">
        <w:rPr>
          <w:rFonts w:ascii="Arial" w:eastAsia="Times New Roman" w:hAnsi="Arial" w:cs="Arial"/>
          <w:b/>
          <w:bCs/>
          <w:color w:val="262626"/>
          <w:kern w:val="36"/>
          <w:sz w:val="33"/>
          <w:szCs w:val="33"/>
        </w:rPr>
        <w:t>Should You Take the ACT or SAT?</w:t>
      </w:r>
    </w:p>
    <w:p w:rsidR="00204C32" w:rsidRDefault="00946644" w:rsidP="00204C32">
      <w:pPr>
        <w:spacing w:before="100" w:beforeAutospacing="1" w:after="0" w:line="240" w:lineRule="auto"/>
        <w:rPr>
          <w:rFonts w:ascii="Arial" w:eastAsia="Times New Roman" w:hAnsi="Arial" w:cs="Arial"/>
          <w:sz w:val="15"/>
          <w:szCs w:val="15"/>
        </w:rPr>
      </w:pPr>
      <w:r w:rsidRPr="00946644">
        <w:rPr>
          <w:rFonts w:ascii="Arial" w:eastAsia="Times New Roman" w:hAnsi="Arial" w:cs="Arial"/>
          <w:sz w:val="15"/>
          <w:szCs w:val="15"/>
        </w:rPr>
        <w:t xml:space="preserve">Both the ACT and the SAT are nationally administered standardized tests that help colleges evaluate candidates. All schools accept either test </w:t>
      </w:r>
      <w:proofErr w:type="spellStart"/>
      <w:r w:rsidRPr="00946644">
        <w:rPr>
          <w:rFonts w:ascii="Arial" w:eastAsia="Times New Roman" w:hAnsi="Arial" w:cs="Arial"/>
          <w:sz w:val="15"/>
          <w:szCs w:val="15"/>
        </w:rPr>
        <w:t>interchangably</w:t>
      </w:r>
      <w:proofErr w:type="spellEnd"/>
      <w:r w:rsidRPr="00946644">
        <w:rPr>
          <w:rFonts w:ascii="Arial" w:eastAsia="Times New Roman" w:hAnsi="Arial" w:cs="Arial"/>
          <w:sz w:val="15"/>
          <w:szCs w:val="15"/>
        </w:rPr>
        <w:t>. So as you begin to think about college and creating the best application package possible, your admissions plan should begin with the question, "Which test should I take?"</w:t>
      </w:r>
    </w:p>
    <w:p w:rsidR="00946644" w:rsidRPr="00204C32" w:rsidRDefault="00946644" w:rsidP="00204C32">
      <w:pPr>
        <w:spacing w:before="100" w:beforeAutospacing="1" w:after="0" w:line="240" w:lineRule="auto"/>
        <w:rPr>
          <w:rFonts w:ascii="Arial" w:eastAsia="Times New Roman" w:hAnsi="Arial" w:cs="Arial"/>
          <w:sz w:val="15"/>
          <w:szCs w:val="15"/>
        </w:rPr>
      </w:pPr>
      <w:r w:rsidRPr="00946644">
        <w:rPr>
          <w:rFonts w:ascii="Arial" w:eastAsia="Times New Roman" w:hAnsi="Arial" w:cs="Arial"/>
          <w:b/>
          <w:bCs/>
          <w:color w:val="422A80"/>
          <w:sz w:val="23"/>
          <w:szCs w:val="23"/>
        </w:rPr>
        <w:t>What's the Difference Between the ACT and SAT?</w:t>
      </w:r>
      <w:bookmarkStart w:id="0" w:name="_GoBack"/>
      <w:bookmarkEnd w:id="0"/>
    </w:p>
    <w:p w:rsidR="00946644" w:rsidRPr="00946644" w:rsidRDefault="00946644" w:rsidP="00946644">
      <w:pPr>
        <w:spacing w:before="100" w:beforeAutospacing="1" w:after="288" w:line="240" w:lineRule="auto"/>
        <w:rPr>
          <w:rFonts w:ascii="Arial" w:eastAsia="Times New Roman" w:hAnsi="Arial" w:cs="Arial"/>
          <w:sz w:val="15"/>
          <w:szCs w:val="15"/>
        </w:rPr>
      </w:pPr>
      <w:r w:rsidRPr="00946644">
        <w:rPr>
          <w:rFonts w:ascii="Arial" w:eastAsia="Times New Roman" w:hAnsi="Arial" w:cs="Arial"/>
          <w:b/>
          <w:bCs/>
          <w:sz w:val="15"/>
        </w:rPr>
        <w:t>Test Structure and Format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946644" w:rsidRPr="00946644" w:rsidTr="00946644">
        <w:trPr>
          <w:tblHeader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b/>
                <w:bCs/>
                <w:color w:val="2C8E07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b/>
                <w:bCs/>
                <w:color w:val="2C8E07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b/>
                <w:bCs/>
                <w:color w:val="2C8E07"/>
                <w:sz w:val="18"/>
                <w:szCs w:val="18"/>
              </w:rPr>
              <w:t>ACT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b/>
                <w:bCs/>
                <w:color w:val="2C8E07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b/>
                <w:bCs/>
                <w:color w:val="2C8E07"/>
                <w:sz w:val="18"/>
                <w:szCs w:val="18"/>
              </w:rPr>
              <w:t>SAT</w:t>
            </w:r>
          </w:p>
        </w:tc>
      </w:tr>
      <w:tr w:rsidR="00946644" w:rsidRPr="00946644" w:rsidTr="00946644">
        <w:tc>
          <w:tcPr>
            <w:tcW w:w="0" w:type="auto"/>
            <w:tcBorders>
              <w:top w:val="single" w:sz="12" w:space="0" w:color="999999"/>
              <w:left w:val="nil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Length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3 hours, 25 min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 xml:space="preserve">(with Writing Test) 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CCCCCC"/>
              <w:bottom w:val="single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3 hours, 45 minutes</w:t>
            </w:r>
          </w:p>
        </w:tc>
      </w:tr>
      <w:tr w:rsidR="00946644" w:rsidRPr="00946644" w:rsidTr="00946644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6F5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Structure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5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4 Sections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 xml:space="preserve">(English, Math, Reading, Science) plus an optional Writing Test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6F5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10 Sections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 xml:space="preserve">(3 Critical Reading, 3 Math, 3 Writing, and 1 Experimental, which is </w:t>
            </w:r>
            <w:proofErr w:type="spellStart"/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unscored</w:t>
            </w:r>
            <w:proofErr w:type="spellEnd"/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) </w:t>
            </w:r>
          </w:p>
        </w:tc>
      </w:tr>
    </w:tbl>
    <w:p w:rsidR="00946644" w:rsidRPr="00946644" w:rsidRDefault="00946644" w:rsidP="00946644">
      <w:pPr>
        <w:spacing w:before="100" w:beforeAutospacing="1" w:after="288" w:line="240" w:lineRule="auto"/>
        <w:rPr>
          <w:rFonts w:ascii="Arial" w:eastAsia="Times New Roman" w:hAnsi="Arial" w:cs="Arial"/>
          <w:sz w:val="15"/>
          <w:szCs w:val="15"/>
        </w:rPr>
      </w:pPr>
      <w:r w:rsidRPr="00946644">
        <w:rPr>
          <w:rFonts w:ascii="Arial" w:eastAsia="Times New Roman" w:hAnsi="Arial" w:cs="Arial"/>
          <w:b/>
          <w:bCs/>
          <w:sz w:val="15"/>
        </w:rPr>
        <w:t>Scoring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946644" w:rsidRPr="00946644" w:rsidTr="00946644">
        <w:trPr>
          <w:tblHeader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b/>
                <w:bCs/>
                <w:color w:val="2C8E07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b/>
                <w:bCs/>
                <w:color w:val="2C8E07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b/>
                <w:bCs/>
                <w:color w:val="2C8E07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b/>
                <w:bCs/>
                <w:color w:val="2C8E07"/>
                <w:sz w:val="18"/>
                <w:szCs w:val="18"/>
              </w:rPr>
              <w:t>ACT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b/>
                <w:bCs/>
                <w:color w:val="2C8E07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b/>
                <w:bCs/>
                <w:color w:val="2C8E07"/>
                <w:sz w:val="18"/>
                <w:szCs w:val="18"/>
              </w:rPr>
              <w:t>SAT</w:t>
            </w:r>
          </w:p>
        </w:tc>
      </w:tr>
      <w:tr w:rsidR="00946644" w:rsidRPr="00946644" w:rsidTr="00946644">
        <w:tc>
          <w:tcPr>
            <w:tcW w:w="0" w:type="auto"/>
            <w:tcBorders>
              <w:top w:val="single" w:sz="12" w:space="0" w:color="999999"/>
              <w:left w:val="nil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Score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Composite of 1-36 based on average scores from the 4 test sections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>4 scores of 1-36 for each test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 xml:space="preserve">Optional Writing Test score of 0-12 (not included in the overall score) 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CCCCCC"/>
              <w:bottom w:val="single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Total score range of 600-2400 based on adding scores from 3 subjects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>3 scores of 200-800 for each subject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 xml:space="preserve">Score of 0-12 for the Essay </w:t>
            </w:r>
          </w:p>
        </w:tc>
      </w:tr>
      <w:tr w:rsidR="00946644" w:rsidRPr="00946644" w:rsidTr="00946644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6F5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Wrong Answer Penalty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5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No penalty for wrong answers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6F5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¼ point subtracted from your raw score for each wrong answer (except for Math Grid-Ins) </w:t>
            </w:r>
          </w:p>
        </w:tc>
      </w:tr>
      <w:tr w:rsidR="00946644" w:rsidRPr="00946644" w:rsidTr="00946644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lastRenderedPageBreak/>
              <w:t>Sending Score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You decide which score is sent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You decide which score is sent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 xml:space="preserve">*Some colleges require you to send all scores, check with the college to be sure </w:t>
            </w:r>
          </w:p>
        </w:tc>
      </w:tr>
    </w:tbl>
    <w:p w:rsidR="00946644" w:rsidRPr="00946644" w:rsidRDefault="00946644" w:rsidP="00946644">
      <w:pPr>
        <w:spacing w:before="100" w:beforeAutospacing="1" w:after="288" w:line="240" w:lineRule="auto"/>
        <w:rPr>
          <w:rFonts w:ascii="Arial" w:eastAsia="Times New Roman" w:hAnsi="Arial" w:cs="Arial"/>
          <w:sz w:val="15"/>
          <w:szCs w:val="15"/>
        </w:rPr>
      </w:pPr>
      <w:r w:rsidRPr="00946644">
        <w:rPr>
          <w:rFonts w:ascii="Arial" w:eastAsia="Times New Roman" w:hAnsi="Arial" w:cs="Arial"/>
          <w:b/>
          <w:bCs/>
          <w:sz w:val="15"/>
        </w:rPr>
        <w:t>Content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946644" w:rsidRPr="00946644" w:rsidTr="00946644">
        <w:trPr>
          <w:tblHeader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b/>
                <w:bCs/>
                <w:color w:val="2C8E07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b/>
                <w:bCs/>
                <w:color w:val="2C8E07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b/>
                <w:bCs/>
                <w:color w:val="2C8E07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b/>
                <w:bCs/>
                <w:color w:val="2C8E07"/>
                <w:sz w:val="18"/>
                <w:szCs w:val="18"/>
              </w:rPr>
              <w:t>ACT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b/>
                <w:bCs/>
                <w:color w:val="2C8E07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b/>
                <w:bCs/>
                <w:color w:val="2C8E07"/>
                <w:sz w:val="18"/>
                <w:szCs w:val="18"/>
              </w:rPr>
              <w:t>SAT</w:t>
            </w:r>
          </w:p>
        </w:tc>
      </w:tr>
      <w:tr w:rsidR="00946644" w:rsidRPr="00946644" w:rsidTr="00946644">
        <w:tc>
          <w:tcPr>
            <w:tcW w:w="0" w:type="auto"/>
            <w:tcBorders>
              <w:top w:val="single" w:sz="12" w:space="0" w:color="999999"/>
              <w:left w:val="nil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Reading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Reading Comprehension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CCCCCC"/>
              <w:bottom w:val="single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Reading Comprehension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 xml:space="preserve">Sentence Completions </w:t>
            </w:r>
          </w:p>
        </w:tc>
      </w:tr>
      <w:tr w:rsidR="00946644" w:rsidRPr="00946644" w:rsidTr="00946644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6F5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5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Arithmetic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>Algebra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>Geometry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>Algebra II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 xml:space="preserve">Trigonometry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6F5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Arithmetic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>Algebra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>Geometry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 xml:space="preserve">Algebra II </w:t>
            </w:r>
          </w:p>
        </w:tc>
      </w:tr>
      <w:tr w:rsidR="00946644" w:rsidRPr="00946644" w:rsidTr="00946644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Analysis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>Interpretation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>Evaluation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>Basic Content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 xml:space="preserve">Problem Solving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Not applicable</w:t>
            </w:r>
          </w:p>
        </w:tc>
      </w:tr>
      <w:tr w:rsidR="00946644" w:rsidRPr="00946644" w:rsidTr="00946644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6F5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Essay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5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Optional Final Section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>30 Minutes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>Not Included in Composite Score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lastRenderedPageBreak/>
              <w:t xml:space="preserve">Topic of importance to high school students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6F5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6644" w:rsidRPr="00946644" w:rsidRDefault="00946644" w:rsidP="00946644">
            <w:pPr>
              <w:spacing w:after="300" w:line="360" w:lineRule="atLeast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lastRenderedPageBreak/>
              <w:t>First Section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>25 Minutes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  <w:t>Factored into overall score</w:t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br/>
            </w:r>
            <w:r w:rsidRPr="00946644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lastRenderedPageBreak/>
              <w:t xml:space="preserve">More abstract topic </w:t>
            </w:r>
          </w:p>
        </w:tc>
      </w:tr>
    </w:tbl>
    <w:p w:rsidR="004B02D7" w:rsidRDefault="004B02D7"/>
    <w:sectPr w:rsidR="004B02D7" w:rsidSect="00946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644"/>
    <w:rsid w:val="00204C32"/>
    <w:rsid w:val="00293823"/>
    <w:rsid w:val="004B02D7"/>
    <w:rsid w:val="009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66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 Public Schools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</dc:creator>
  <cp:lastModifiedBy>pps</cp:lastModifiedBy>
  <cp:revision>2</cp:revision>
  <dcterms:created xsi:type="dcterms:W3CDTF">2010-06-07T14:25:00Z</dcterms:created>
  <dcterms:modified xsi:type="dcterms:W3CDTF">2010-10-05T19:35:00Z</dcterms:modified>
</cp:coreProperties>
</file>